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690772F5" w:rsidR="00264F6D" w:rsidRPr="00FC3E8C" w:rsidRDefault="00970C4A" w:rsidP="00065C3B">
      <w:pPr>
        <w:pStyle w:val="ConsPlusNormal"/>
        <w:ind w:left="5387"/>
        <w:jc w:val="right"/>
      </w:pPr>
      <w:r w:rsidRPr="00970C4A">
        <w:rPr>
          <w:rFonts w:ascii="Times New Roman" w:eastAsia="Calibri" w:hAnsi="Times New Roman"/>
          <w:b/>
          <w:i/>
        </w:rPr>
        <w:t>от 28.12.2024 г. № 222-од</w:t>
      </w:r>
      <w:r w:rsidR="00065C3B" w:rsidRPr="00970C4A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4FFFE6F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5D207A97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4A39D82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5,14080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4D317F0E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5E75A3C2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06AB87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16,10280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457D0159" w:rsidR="000754D1" w:rsidRPr="00C23BAF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C23BAF">
              <w:rPr>
                <w:bCs/>
                <w:sz w:val="22"/>
                <w:szCs w:val="22"/>
              </w:rPr>
              <w:t>21,24360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4D33AFF2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3AF8572F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3DBEED7B" w:rsidR="000754D1" w:rsidRPr="00C23BAF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23BAF">
              <w:rPr>
                <w:sz w:val="22"/>
                <w:szCs w:val="22"/>
              </w:rPr>
              <w:t>24,684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 xml:space="preserve">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Антивирус «</w:t>
            </w:r>
            <w:proofErr w:type="spellStart"/>
            <w:r w:rsidRPr="00295294">
              <w:rPr>
                <w:sz w:val="20"/>
                <w:szCs w:val="20"/>
                <w:lang w:val="en-US"/>
              </w:rPr>
              <w:t>Dr.Web</w:t>
            </w:r>
            <w:proofErr w:type="spellEnd"/>
            <w:r w:rsidRPr="00295294">
              <w:rPr>
                <w:sz w:val="20"/>
                <w:szCs w:val="20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05FA6470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39519E88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674"/>
        <w:gridCol w:w="4819"/>
      </w:tblGrid>
      <w:tr w:rsidR="00264F6D" w:rsidRPr="00FC3E8C" w14:paraId="7E1AB833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6676B807" w:rsidR="00264F6D" w:rsidRPr="00295294" w:rsidRDefault="00AD0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12,072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18"/>
        <w:gridCol w:w="3778"/>
      </w:tblGrid>
      <w:tr w:rsidR="00264F6D" w:rsidRPr="00FC3E8C" w14:paraId="1A756DE0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4A8BB98D" w:rsidR="00264F6D" w:rsidRPr="00FC3E8C" w:rsidRDefault="00567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</w:tbl>
    <w:p w14:paraId="2540FE64" w14:textId="77777777" w:rsidR="008C0AC3" w:rsidRDefault="008C0AC3" w:rsidP="008C0AC3">
      <w:pPr>
        <w:ind w:firstLine="709"/>
        <w:rPr>
          <w:b/>
        </w:rPr>
      </w:pPr>
    </w:p>
    <w:p w14:paraId="496C15B9" w14:textId="336604FB" w:rsidR="008C0AC3" w:rsidRPr="004B6494" w:rsidRDefault="004B6494" w:rsidP="008C0AC3">
      <w:pPr>
        <w:ind w:firstLine="709"/>
        <w:rPr>
          <w:b/>
          <w:sz w:val="22"/>
          <w:szCs w:val="22"/>
        </w:rPr>
      </w:pPr>
      <w:r w:rsidRPr="004B6494">
        <w:rPr>
          <w:bCs/>
          <w:sz w:val="22"/>
          <w:szCs w:val="22"/>
        </w:rPr>
        <w:t>2</w:t>
      </w:r>
      <w:r w:rsidR="008C0AC3" w:rsidRPr="004B6494">
        <w:rPr>
          <w:bCs/>
          <w:sz w:val="22"/>
          <w:szCs w:val="22"/>
        </w:rPr>
        <w:t>.</w:t>
      </w:r>
      <w:r w:rsidRPr="004B6494">
        <w:rPr>
          <w:bCs/>
          <w:sz w:val="22"/>
          <w:szCs w:val="22"/>
        </w:rPr>
        <w:t>4</w:t>
      </w:r>
      <w:r w:rsidR="008C0AC3" w:rsidRPr="004B6494">
        <w:rPr>
          <w:bCs/>
          <w:sz w:val="22"/>
          <w:szCs w:val="22"/>
        </w:rPr>
        <w:t xml:space="preserve">. Затраты на приобретение принтеров, многофункциональных устройств, копировальных аппаратов и иной оргтехники: </w:t>
      </w:r>
    </w:p>
    <w:p w14:paraId="528A3A6A" w14:textId="77777777" w:rsidR="008C0AC3" w:rsidRPr="004B6494" w:rsidRDefault="008C0AC3" w:rsidP="008C0AC3">
      <w:pPr>
        <w:ind w:firstLine="709"/>
        <w:rPr>
          <w:b/>
          <w:sz w:val="22"/>
          <w:szCs w:val="22"/>
        </w:rPr>
      </w:pP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486"/>
        <w:gridCol w:w="2882"/>
        <w:gridCol w:w="2731"/>
        <w:gridCol w:w="1994"/>
      </w:tblGrid>
      <w:tr w:rsidR="008C0AC3" w:rsidRPr="004B6494" w14:paraId="6751D2E3" w14:textId="77777777" w:rsidTr="004B6494">
        <w:trPr>
          <w:trHeight w:hRule="exact" w:val="8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FD70B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№</w:t>
            </w:r>
          </w:p>
          <w:p w14:paraId="5B196F00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44111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1FA9C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790122DB" w14:textId="44BCC8D9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(штук)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34C50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Цена </w:t>
            </w:r>
          </w:p>
          <w:p w14:paraId="3BA32B29" w14:textId="7B542D85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BAA9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Затраты в год </w:t>
            </w:r>
          </w:p>
          <w:p w14:paraId="238D70BA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(не более), </w:t>
            </w:r>
          </w:p>
          <w:p w14:paraId="042A56D5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8C0AC3" w:rsidRPr="004B6494" w14:paraId="1642B518" w14:textId="77777777" w:rsidTr="00636D7D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4406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8A05E" w14:textId="73D8A2FC" w:rsidR="008C0AC3" w:rsidRPr="004B6494" w:rsidRDefault="004B6494" w:rsidP="00636D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CF8E8" w14:textId="4FC7ED5D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5D66B" w14:textId="03F358F8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F7D32" w14:textId="3075FA5F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</w:tr>
    </w:tbl>
    <w:p w14:paraId="2A0DEFA4" w14:textId="77777777" w:rsidR="008C0AC3" w:rsidRPr="004B6494" w:rsidRDefault="008C0AC3" w:rsidP="008C0AC3">
      <w:pPr>
        <w:jc w:val="both"/>
        <w:rPr>
          <w:sz w:val="22"/>
          <w:szCs w:val="22"/>
        </w:rPr>
      </w:pPr>
      <w:r w:rsidRPr="004B6494">
        <w:rPr>
          <w:sz w:val="22"/>
          <w:szCs w:val="22"/>
        </w:rPr>
        <w:tab/>
      </w:r>
    </w:p>
    <w:p w14:paraId="622A4CF2" w14:textId="2E20BDF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56FBE0B" w14:textId="7777777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3511262" w14:textId="439FAACB" w:rsidR="000675EC" w:rsidRDefault="00B17745" w:rsidP="000675E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p w14:paraId="5F680569" w14:textId="77777777" w:rsidR="00132C8B" w:rsidRPr="00FC3E8C" w:rsidRDefault="00132C8B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0BB1480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5805EF6A" w:rsidR="000675EC" w:rsidRPr="00FC3E8C" w:rsidRDefault="000675EC" w:rsidP="004A5FAB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4A5FAB">
              <w:rPr>
                <w:bCs/>
                <w:sz w:val="22"/>
                <w:szCs w:val="22"/>
              </w:rPr>
              <w:t>754,36051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0B5A11DD" w:rsidR="000675EC" w:rsidRPr="00FC3E8C" w:rsidRDefault="00240CF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55,77449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3895DC6C" w:rsidR="000675EC" w:rsidRPr="00FC3E8C" w:rsidRDefault="00372028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18,24558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712C9767" w:rsidR="000675EC" w:rsidRPr="006F4E3C" w:rsidRDefault="00372028" w:rsidP="000661E3">
            <w:pPr>
              <w:jc w:val="center"/>
              <w:rPr>
                <w:sz w:val="22"/>
                <w:szCs w:val="22"/>
              </w:rPr>
            </w:pPr>
            <w:r w:rsidRPr="006F4E3C">
              <w:rPr>
                <w:sz w:val="22"/>
                <w:szCs w:val="22"/>
              </w:rPr>
              <w:t>2476,26958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6E57893" w14:textId="24745EF7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p w14:paraId="1C4F646A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251F26D0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173462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1061439A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0D689A4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250C40D2" w14:textId="77777777" w:rsidR="00132C8B" w:rsidRPr="00FC3E8C" w:rsidRDefault="00132C8B" w:rsidP="000675EC">
      <w:pPr>
        <w:rPr>
          <w:rFonts w:eastAsia="Calibri"/>
          <w:sz w:val="22"/>
          <w:szCs w:val="22"/>
        </w:rPr>
      </w:pP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5C3CD43D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309,234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3B6FA32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6CE8D2E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752,03235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565E3FA6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69,6011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60442925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4E79138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2,32816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0CC5B27" w14:textId="77777777" w:rsidTr="005F42FF">
        <w:trPr>
          <w:trHeight w:val="31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E48F2" w14:textId="7A1A4380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5710" w14:textId="51DBF2DD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518FC137" w:rsidR="000675EC" w:rsidRPr="00FC3E8C" w:rsidRDefault="002B045C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23,45765</w:t>
            </w:r>
          </w:p>
        </w:tc>
      </w:tr>
      <w:tr w:rsidR="000675EC" w:rsidRPr="00FC3E8C" w14:paraId="5FEA239C" w14:textId="77777777" w:rsidTr="005F42FF">
        <w:trPr>
          <w:trHeight w:val="30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CDF0" w14:textId="38EE6CBE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41CA" w14:textId="7E2B4A89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23439487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32,31684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0EF8603C" w:rsidR="000675EC" w:rsidRPr="00FC3E8C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4BC7F204" w:rsidR="000675EC" w:rsidRPr="00FC3E8C" w:rsidRDefault="00C230F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4C0C3AEF" w:rsidR="000675EC" w:rsidRPr="0077611E" w:rsidRDefault="00E47813" w:rsidP="005F42FF">
            <w:pPr>
              <w:jc w:val="center"/>
              <w:rPr>
                <w:sz w:val="22"/>
                <w:szCs w:val="22"/>
              </w:rPr>
            </w:pPr>
            <w:r w:rsidRPr="0077611E">
              <w:rPr>
                <w:sz w:val="22"/>
                <w:szCs w:val="22"/>
              </w:rPr>
              <w:t>7,64298</w:t>
            </w:r>
          </w:p>
        </w:tc>
      </w:tr>
      <w:tr w:rsidR="00687E0E" w:rsidRPr="00FC3E8C" w14:paraId="4F6D4512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7C9A" w14:textId="433F596E" w:rsidR="00687E0E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0B64" w14:textId="2E3D9039" w:rsidR="00687E0E" w:rsidRDefault="00C230F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944,97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74C" w14:textId="46DE90C4" w:rsidR="00687E0E" w:rsidRPr="0077611E" w:rsidRDefault="00E47813" w:rsidP="005F42FF">
            <w:pPr>
              <w:jc w:val="center"/>
              <w:rPr>
                <w:sz w:val="22"/>
                <w:szCs w:val="22"/>
              </w:rPr>
            </w:pPr>
            <w:r w:rsidRPr="0077611E">
              <w:rPr>
                <w:sz w:val="22"/>
                <w:szCs w:val="22"/>
              </w:rPr>
              <w:t>10,6026</w:t>
            </w:r>
          </w:p>
        </w:tc>
      </w:tr>
    </w:tbl>
    <w:p w14:paraId="24D9D87B" w14:textId="68251906" w:rsidR="00264F6D" w:rsidRPr="00FC3E8C" w:rsidRDefault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FE713C"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="00FE713C"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lastRenderedPageBreak/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71B83FA5" w:rsidR="000A56D0" w:rsidRPr="00FC3E8C" w:rsidRDefault="00C72F24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119,886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0162B725" w:rsidR="000A56D0" w:rsidRPr="00FC3E8C" w:rsidRDefault="00EC03E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84,99504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21D402E5" w:rsidR="000A56D0" w:rsidRPr="0032604C" w:rsidRDefault="00EC03E7" w:rsidP="005F42FF">
            <w:pPr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204,88104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30C047E9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1221B3A0" w:rsidR="00264F6D" w:rsidRPr="003504EA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97,200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4B1EA6D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6AF9D63B" w:rsidR="00264F6D" w:rsidRPr="003504EA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22,686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09802032" w14:textId="21CF9D1E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1663A88E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63CC3655" w:rsidR="000A56D0" w:rsidRPr="003504EA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66,99504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1359C506" w:rsidR="00917B05" w:rsidRDefault="00024A0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7B05">
              <w:rPr>
                <w:sz w:val="22"/>
                <w:szCs w:val="22"/>
              </w:rPr>
              <w:t>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Pr="003504EA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79AFD88E" w:rsidR="00917B05" w:rsidRPr="003504EA" w:rsidRDefault="00024A0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18,00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266B0103" w:rsidR="00264F6D" w:rsidRPr="00FC3E8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3C39B794" w14:textId="6CBA5753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665" w:type="dxa"/>
            <w:shd w:val="clear" w:color="auto" w:fill="auto"/>
          </w:tcPr>
          <w:p w14:paraId="0D448C33" w14:textId="138A8C92" w:rsidR="00264F6D" w:rsidRPr="0032604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24,00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2E75FA95" w14:textId="180C5FD0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p w14:paraId="7F1AFB78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095AA5D1" w:rsidR="000A56D0" w:rsidRPr="00FC3E8C" w:rsidRDefault="004517F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34FFEB04" w:rsidR="000A56D0" w:rsidRPr="0032604C" w:rsidRDefault="004517F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58,98450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49DB5654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4D8CBD76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1F7457C" w:rsidR="000A56D0" w:rsidRPr="0032604C" w:rsidRDefault="00332B8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2,26984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6AB7917" w14:textId="05754435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Затраты на проведение ремонта помещения:</w:t>
      </w:r>
    </w:p>
    <w:p w14:paraId="6B5139D9" w14:textId="77777777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551"/>
        <w:gridCol w:w="2410"/>
        <w:gridCol w:w="1985"/>
      </w:tblGrid>
      <w:tr w:rsidR="002A3987" w14:paraId="7ECF194F" w14:textId="77777777" w:rsidTr="00400947">
        <w:tc>
          <w:tcPr>
            <w:tcW w:w="3227" w:type="dxa"/>
          </w:tcPr>
          <w:p w14:paraId="2625398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551" w:type="dxa"/>
          </w:tcPr>
          <w:p w14:paraId="7D1C1DD8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Площадь, планируемая к проведению ремонта</w:t>
            </w:r>
          </w:p>
        </w:tc>
        <w:tc>
          <w:tcPr>
            <w:tcW w:w="2410" w:type="dxa"/>
          </w:tcPr>
          <w:p w14:paraId="3AB1DDB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0391D">
                <w:rPr>
                  <w:sz w:val="22"/>
                  <w:szCs w:val="22"/>
                </w:rPr>
                <w:t>1 кв. метра</w:t>
              </w:r>
            </w:smartTag>
            <w:r w:rsidRPr="00E0391D">
              <w:rPr>
                <w:sz w:val="22"/>
                <w:szCs w:val="22"/>
              </w:rPr>
              <w:t xml:space="preserve"> площади здания </w:t>
            </w:r>
          </w:p>
          <w:p w14:paraId="54933481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(не более), </w:t>
            </w:r>
          </w:p>
          <w:p w14:paraId="2E522B3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руб.</w:t>
            </w:r>
          </w:p>
        </w:tc>
        <w:tc>
          <w:tcPr>
            <w:tcW w:w="1985" w:type="dxa"/>
          </w:tcPr>
          <w:p w14:paraId="21504AC6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Затраты в год</w:t>
            </w:r>
          </w:p>
          <w:p w14:paraId="2051627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(не более),</w:t>
            </w:r>
          </w:p>
          <w:p w14:paraId="6D3AAB6B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 тыс. руб.</w:t>
            </w:r>
          </w:p>
        </w:tc>
      </w:tr>
      <w:tr w:rsidR="002A3987" w14:paraId="34F1E0DB" w14:textId="77777777" w:rsidTr="00400947">
        <w:trPr>
          <w:trHeight w:val="113"/>
        </w:trPr>
        <w:tc>
          <w:tcPr>
            <w:tcW w:w="3227" w:type="dxa"/>
          </w:tcPr>
          <w:p w14:paraId="6A0AEC33" w14:textId="2010963D" w:rsidR="002A3987" w:rsidRPr="00D6573A" w:rsidRDefault="002A3987" w:rsidP="00400947">
            <w:pPr>
              <w:widowControl w:val="0"/>
              <w:autoSpaceDE w:val="0"/>
              <w:autoSpaceDN w:val="0"/>
              <w:jc w:val="both"/>
            </w:pPr>
            <w:r w:rsidRPr="00D6573A">
              <w:t>Текущий ремонт пищеблока</w:t>
            </w:r>
          </w:p>
        </w:tc>
        <w:tc>
          <w:tcPr>
            <w:tcW w:w="2551" w:type="dxa"/>
          </w:tcPr>
          <w:p w14:paraId="40144E26" w14:textId="71981BB1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591,89</w:t>
            </w:r>
          </w:p>
        </w:tc>
        <w:tc>
          <w:tcPr>
            <w:tcW w:w="2410" w:type="dxa"/>
          </w:tcPr>
          <w:p w14:paraId="6606D7AD" w14:textId="7F240323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2419,96</w:t>
            </w:r>
          </w:p>
        </w:tc>
        <w:tc>
          <w:tcPr>
            <w:tcW w:w="1985" w:type="dxa"/>
          </w:tcPr>
          <w:p w14:paraId="4E5884F7" w14:textId="3DF53383" w:rsidR="002A3987" w:rsidRPr="0032604C" w:rsidRDefault="00F64A0D" w:rsidP="00400947">
            <w:pPr>
              <w:widowControl w:val="0"/>
              <w:autoSpaceDE w:val="0"/>
              <w:autoSpaceDN w:val="0"/>
              <w:jc w:val="center"/>
            </w:pPr>
            <w:r w:rsidRPr="0032604C">
              <w:t>1432,34881</w:t>
            </w:r>
          </w:p>
        </w:tc>
      </w:tr>
      <w:tr w:rsidR="00F64A0D" w14:paraId="0DF40BAD" w14:textId="77777777" w:rsidTr="00400947">
        <w:trPr>
          <w:trHeight w:val="113"/>
        </w:trPr>
        <w:tc>
          <w:tcPr>
            <w:tcW w:w="3227" w:type="dxa"/>
          </w:tcPr>
          <w:p w14:paraId="772310FE" w14:textId="7C5D370B" w:rsidR="00F64A0D" w:rsidRPr="00D6573A" w:rsidRDefault="00F64A0D" w:rsidP="00F64A0D">
            <w:pPr>
              <w:widowControl w:val="0"/>
              <w:autoSpaceDE w:val="0"/>
              <w:autoSpaceDN w:val="0"/>
              <w:jc w:val="center"/>
            </w:pPr>
            <w:r>
              <w:t>Ремонт санузла пищеблока</w:t>
            </w:r>
          </w:p>
        </w:tc>
        <w:tc>
          <w:tcPr>
            <w:tcW w:w="2551" w:type="dxa"/>
          </w:tcPr>
          <w:p w14:paraId="174FD025" w14:textId="0D14D171" w:rsidR="00F64A0D" w:rsidRPr="00D6573A" w:rsidRDefault="00F64A0D" w:rsidP="00F64A0D">
            <w:pPr>
              <w:widowControl w:val="0"/>
              <w:autoSpaceDE w:val="0"/>
              <w:autoSpaceDN w:val="0"/>
              <w:jc w:val="center"/>
            </w:pPr>
            <w:r>
              <w:t>1,8</w:t>
            </w:r>
          </w:p>
        </w:tc>
        <w:tc>
          <w:tcPr>
            <w:tcW w:w="2410" w:type="dxa"/>
          </w:tcPr>
          <w:p w14:paraId="6BF0D642" w14:textId="1BBE14D4" w:rsidR="00F64A0D" w:rsidRPr="00D6573A" w:rsidRDefault="00F64A0D" w:rsidP="00400947">
            <w:pPr>
              <w:widowControl w:val="0"/>
              <w:autoSpaceDE w:val="0"/>
              <w:autoSpaceDN w:val="0"/>
              <w:jc w:val="center"/>
            </w:pPr>
            <w:r>
              <w:t>52661,76</w:t>
            </w:r>
          </w:p>
        </w:tc>
        <w:tc>
          <w:tcPr>
            <w:tcW w:w="1985" w:type="dxa"/>
          </w:tcPr>
          <w:p w14:paraId="1158925F" w14:textId="565F7E54" w:rsidR="00F64A0D" w:rsidRPr="0032604C" w:rsidRDefault="00F64A0D" w:rsidP="00400947">
            <w:pPr>
              <w:widowControl w:val="0"/>
              <w:autoSpaceDE w:val="0"/>
              <w:autoSpaceDN w:val="0"/>
              <w:jc w:val="center"/>
            </w:pPr>
            <w:r w:rsidRPr="0032604C">
              <w:t>94,79116</w:t>
            </w:r>
          </w:p>
        </w:tc>
      </w:tr>
    </w:tbl>
    <w:p w14:paraId="1FC01019" w14:textId="77777777" w:rsidR="002124DB" w:rsidRDefault="002124DB" w:rsidP="00835CDE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496DA82" w14:textId="010E6186" w:rsidR="00264F6D" w:rsidRDefault="00FE713C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F231CA2" w14:textId="77777777" w:rsidR="002124DB" w:rsidRPr="00FC3E8C" w:rsidRDefault="002124DB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4BAF2F86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p w14:paraId="1ABF0FAF" w14:textId="77777777" w:rsidR="002124DB" w:rsidRPr="00FC3E8C" w:rsidRDefault="002124DB">
      <w:pPr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4EF2E25F" w:rsidR="00264F6D" w:rsidRPr="00FC3E8C" w:rsidRDefault="006F4E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020E559C" w:rsidR="00264F6D" w:rsidRPr="00FC3E8C" w:rsidRDefault="006F4E3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31,360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73C00E67" w:rsidR="00264F6D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p w14:paraId="29F589AB" w14:textId="77777777" w:rsidR="002124DB" w:rsidRPr="00FC3E8C" w:rsidRDefault="002124D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0F4BAC7D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2B1E65EF" w:rsidR="00264F6D" w:rsidRPr="006F4E3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F4E3C">
              <w:rPr>
                <w:sz w:val="22"/>
                <w:szCs w:val="22"/>
              </w:rPr>
              <w:t>138,255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2D1C2A83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2C97B4AA" w14:textId="52FAA5C3" w:rsidR="00AA7FBB" w:rsidRDefault="00AA7FBB">
      <w:pPr>
        <w:ind w:firstLine="720"/>
        <w:jc w:val="both"/>
        <w:rPr>
          <w:sz w:val="22"/>
          <w:szCs w:val="22"/>
        </w:rPr>
      </w:pPr>
    </w:p>
    <w:p w14:paraId="74B61908" w14:textId="08EB3707" w:rsidR="00AA7FBB" w:rsidRDefault="00AA7FBB">
      <w:pPr>
        <w:ind w:firstLine="720"/>
        <w:jc w:val="both"/>
        <w:rPr>
          <w:sz w:val="22"/>
          <w:szCs w:val="22"/>
        </w:rPr>
      </w:pPr>
    </w:p>
    <w:p w14:paraId="42AAC968" w14:textId="77777777" w:rsidR="00AA7FBB" w:rsidRPr="00FC3E8C" w:rsidRDefault="00AA7FBB">
      <w:pPr>
        <w:ind w:firstLine="720"/>
        <w:jc w:val="both"/>
        <w:rPr>
          <w:sz w:val="22"/>
          <w:szCs w:val="22"/>
        </w:rPr>
      </w:pPr>
    </w:p>
    <w:p w14:paraId="5E1B3FE2" w14:textId="77777777" w:rsidR="00264F6D" w:rsidRPr="00FC3E8C" w:rsidRDefault="00264F6D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страхового 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территории преимуществе</w:t>
            </w:r>
            <w:r>
              <w:rPr>
                <w:sz w:val="16"/>
                <w:szCs w:val="16"/>
              </w:rPr>
              <w:lastRenderedPageBreak/>
              <w:t>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или отсутствия страховых возмещений при </w:t>
            </w:r>
            <w:r>
              <w:rPr>
                <w:sz w:val="16"/>
                <w:szCs w:val="16"/>
              </w:rPr>
              <w:lastRenderedPageBreak/>
              <w:t>наступлении страховых случаев, произошедших в период действия 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сведений о количестве лиц, </w:t>
            </w:r>
            <w:r>
              <w:rPr>
                <w:sz w:val="16"/>
                <w:szCs w:val="16"/>
              </w:rPr>
              <w:lastRenderedPageBreak/>
              <w:t>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технических характеристи</w:t>
            </w:r>
            <w:r>
              <w:rPr>
                <w:sz w:val="16"/>
                <w:szCs w:val="16"/>
              </w:rPr>
              <w:lastRenderedPageBreak/>
              <w:t>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периода использовани</w:t>
            </w:r>
            <w:r>
              <w:rPr>
                <w:sz w:val="16"/>
                <w:szCs w:val="16"/>
              </w:rPr>
              <w:lastRenderedPageBreak/>
              <w:t>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нарушений, предусмотренных пунктом 3 статьи 9 Федерального закона от </w:t>
            </w:r>
            <w:r>
              <w:rPr>
                <w:sz w:val="16"/>
                <w:szCs w:val="16"/>
              </w:rPr>
              <w:lastRenderedPageBreak/>
              <w:t>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в договоре обязательного страхования условия, </w:t>
            </w:r>
            <w:r>
              <w:rPr>
                <w:sz w:val="16"/>
                <w:szCs w:val="16"/>
              </w:rPr>
              <w:lastRenderedPageBreak/>
              <w:t>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AB0D1A3" w:rsidR="000A56D0" w:rsidRPr="00FC3E8C" w:rsidRDefault="000A56D0" w:rsidP="00A916B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</w:t>
            </w:r>
            <w:r w:rsidR="00A916B0">
              <w:rPr>
                <w:sz w:val="22"/>
                <w:szCs w:val="22"/>
              </w:rPr>
              <w:t>6</w:t>
            </w:r>
            <w:r w:rsidRPr="00FC3E8C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653E2E9B" w:rsidR="000A56D0" w:rsidRPr="00FC3E8C" w:rsidRDefault="00A916B0" w:rsidP="00A9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4,72544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2210"/>
      </w:tblGrid>
      <w:tr w:rsidR="00264F6D" w:rsidRPr="00FC3E8C" w14:paraId="56A3C062" w14:textId="77777777" w:rsidTr="00364855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1AC3616" w14:textId="71844D3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A4F5EF4" w14:textId="77777777" w:rsidTr="00364855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03AA2CBD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3AE0DE41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4E21DB20" w:rsidR="000A56D0" w:rsidRPr="00000C69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00C69">
              <w:rPr>
                <w:sz w:val="22"/>
                <w:szCs w:val="22"/>
              </w:rPr>
              <w:t>51,00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FD375CC" w14:textId="7B932BB7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862C3E6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6494167A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75,40704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E4E517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2E49448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31,776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106C7F2" w:rsidR="007C0930" w:rsidRPr="00FC3E8C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5D7435E5" w:rsidR="007C0930" w:rsidRPr="006E5896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E5896">
              <w:rPr>
                <w:sz w:val="22"/>
                <w:szCs w:val="22"/>
              </w:rPr>
              <w:t>11,400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25ED92BD" w:rsidR="007C0930" w:rsidRPr="00FC3E8C" w:rsidRDefault="006E589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4956,16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46859998" w:rsidR="007C0930" w:rsidRPr="00943B8D" w:rsidRDefault="006E589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4,95616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291067AD" w:rsidR="007C0930" w:rsidRPr="00EA295E" w:rsidRDefault="006E5896" w:rsidP="00E429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202,624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A56DB69" w14:textId="58010BAE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69CA4F28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22BE3C8D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1232C156" w:rsidR="00FE713C" w:rsidRPr="00AB52BF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12,240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6E2A8FDB" w:rsidR="00FE713C" w:rsidRPr="00FC3E8C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779E924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266B390C" w:rsidR="00FE713C" w:rsidRPr="00AB52BF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4,504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0847BD39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26338BA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4BDB87AF" w:rsidR="00FE713C" w:rsidRPr="00AB52BF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16,341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530C0E42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299E9BBA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66D531E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17,598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24CDB983" w:rsidR="00FE713C" w:rsidRPr="00EA295E" w:rsidRDefault="00735E2B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50,683</w:t>
            </w:r>
          </w:p>
        </w:tc>
      </w:tr>
    </w:tbl>
    <w:p w14:paraId="2F1F5700" w14:textId="77777777" w:rsidR="002124DB" w:rsidRDefault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061301DD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  <w:r w:rsidRPr="00FC3E8C">
        <w:rPr>
          <w:color w:val="000000"/>
          <w:sz w:val="22"/>
          <w:szCs w:val="22"/>
        </w:rPr>
        <w:t>5.7. Затраты на оказание услуг по отдыху и оздоровлению детей Свердловской области в санитарно-курортных организациях:</w:t>
      </w:r>
    </w:p>
    <w:p w14:paraId="223B3954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1965"/>
      </w:tblGrid>
      <w:tr w:rsidR="002124DB" w:rsidRPr="00FC3E8C" w14:paraId="605B6E8F" w14:textId="77777777" w:rsidTr="00687E0E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0E4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Наименование услуги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8D9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Количество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AA0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Цена одной путевки </w:t>
            </w:r>
          </w:p>
          <w:p w14:paraId="0AEC8FE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(не более), </w:t>
            </w:r>
            <w:proofErr w:type="spellStart"/>
            <w:r w:rsidRPr="00FC3E8C">
              <w:rPr>
                <w:color w:val="000000"/>
                <w:sz w:val="22"/>
                <w:szCs w:val="22"/>
              </w:rPr>
              <w:t>тыс.руб</w:t>
            </w:r>
            <w:proofErr w:type="spellEnd"/>
            <w:r w:rsidRPr="00FC3E8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4D5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color w:val="000000"/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color w:val="000000"/>
                <w:sz w:val="22"/>
                <w:szCs w:val="22"/>
              </w:rPr>
              <w:t xml:space="preserve">          (не более),</w:t>
            </w:r>
          </w:p>
          <w:p w14:paraId="1355DF12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2124DB" w:rsidRPr="00FC3E8C" w14:paraId="056274CA" w14:textId="77777777" w:rsidTr="00687E0E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468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lastRenderedPageBreak/>
              <w:t>Детская оздоровительная путевка в ООО Детский санаторно-оздоровительный комплекс «Жемчужина»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90EC" w14:textId="0C6790D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97AF" w14:textId="09D3222C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74,445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844" w14:textId="7C68CBCD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74,445</w:t>
            </w:r>
          </w:p>
        </w:tc>
      </w:tr>
      <w:tr w:rsidR="002124DB" w:rsidRPr="00FC3E8C" w14:paraId="3207E3EF" w14:textId="77777777" w:rsidTr="00687E0E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1511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Оказание комплексной услуги для групп несовершеннолетних, следующих к месту отдыха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030B" w14:textId="2E1EEE7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9CFB" w14:textId="66FBEC48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26,650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16D0" w14:textId="644B3E24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26,650</w:t>
            </w:r>
          </w:p>
        </w:tc>
      </w:tr>
    </w:tbl>
    <w:p w14:paraId="4DB687D6" w14:textId="5A112BD1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103"/>
        <w:gridCol w:w="2127"/>
      </w:tblGrid>
      <w:tr w:rsidR="00685E66" w:rsidRPr="00FC3E8C" w14:paraId="75DE1E30" w14:textId="77777777" w:rsidTr="00D034D8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(не более),</w:t>
            </w:r>
          </w:p>
          <w:p w14:paraId="62A8840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2770CD8A" w14:textId="77777777" w:rsidTr="00D034D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40AE44BE" w:rsidR="00685E66" w:rsidRPr="00FC3E8C" w:rsidRDefault="00B45E0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6E1ECBA6" w:rsidR="00685E66" w:rsidRPr="00FC3E8C" w:rsidRDefault="008103B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167,28503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6DB4D647" w:rsidR="00685E66" w:rsidRPr="00FC3E8C" w:rsidRDefault="008103BE" w:rsidP="008103B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176,28503</w:t>
            </w:r>
          </w:p>
        </w:tc>
      </w:tr>
    </w:tbl>
    <w:p w14:paraId="1FD31EF9" w14:textId="48C6EC74" w:rsidR="00685E66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1269EFBE" w14:textId="77777777" w:rsidR="00132C8B" w:rsidRPr="00FC3E8C" w:rsidRDefault="00132C8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5DC64F6F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D9AD47E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5,00</w:t>
            </w:r>
          </w:p>
        </w:tc>
      </w:tr>
      <w:tr w:rsidR="007050A2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7050A2" w:rsidRDefault="007050A2" w:rsidP="007050A2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2467EE62" w:rsidR="007050A2" w:rsidRPr="00121837" w:rsidRDefault="00C04122" w:rsidP="007050A2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9,00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4819049A" w14:textId="051EF816" w:rsidR="00685E66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10200FFA" w14:textId="77777777" w:rsidR="00132C8B" w:rsidRPr="00FC3E8C" w:rsidRDefault="00132C8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1C27D44D" w:rsidR="00685E66" w:rsidRPr="00FC3E8C" w:rsidRDefault="00FC4689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167,28503</w:t>
            </w:r>
          </w:p>
        </w:tc>
      </w:tr>
    </w:tbl>
    <w:p w14:paraId="7C440C53" w14:textId="3B2A0A52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6DACC25" w14:textId="77777777" w:rsidR="00364855" w:rsidRPr="00FC3E8C" w:rsidRDefault="00364855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22D697E9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1D8E91C6" w14:textId="77777777" w:rsidR="00364855" w:rsidRDefault="00364855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1503597D" w14:textId="132FD1BE" w:rsidR="0095655E" w:rsidRDefault="0095655E" w:rsidP="0095655E">
      <w:pPr>
        <w:widowControl w:val="0"/>
        <w:autoSpaceDE w:val="0"/>
        <w:autoSpaceDN w:val="0"/>
        <w:ind w:firstLine="708"/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843"/>
        <w:gridCol w:w="1985"/>
        <w:gridCol w:w="2268"/>
        <w:gridCol w:w="1559"/>
      </w:tblGrid>
      <w:tr w:rsidR="006D0E6C" w14:paraId="2D7D7FD5" w14:textId="77777777" w:rsidTr="006D0E6C">
        <w:tc>
          <w:tcPr>
            <w:tcW w:w="2376" w:type="dxa"/>
          </w:tcPr>
          <w:p w14:paraId="3C8CC7A2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843" w:type="dxa"/>
          </w:tcPr>
          <w:p w14:paraId="6C169FA3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1985" w:type="dxa"/>
          </w:tcPr>
          <w:p w14:paraId="335D806B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2268" w:type="dxa"/>
          </w:tcPr>
          <w:p w14:paraId="416C39C1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B8B8539" w14:textId="77777777" w:rsidR="006D0E6C" w:rsidRDefault="006D0E6C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6D0E6C" w:rsidRDefault="006D0E6C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6D0E6C" w14:paraId="2552D5D2" w14:textId="77777777" w:rsidTr="006D0E6C">
        <w:tc>
          <w:tcPr>
            <w:tcW w:w="2376" w:type="dxa"/>
          </w:tcPr>
          <w:p w14:paraId="429DD230" w14:textId="51723340" w:rsidR="006D0E6C" w:rsidRPr="00C97886" w:rsidRDefault="006D0E6C" w:rsidP="00E61BFA">
            <w:pPr>
              <w:jc w:val="center"/>
              <w:rPr>
                <w:sz w:val="22"/>
                <w:szCs w:val="22"/>
              </w:rPr>
            </w:pPr>
            <w:r w:rsidRPr="00C97886">
              <w:rPr>
                <w:sz w:val="22"/>
                <w:szCs w:val="22"/>
              </w:rPr>
              <w:t>3,21480</w:t>
            </w:r>
          </w:p>
        </w:tc>
        <w:tc>
          <w:tcPr>
            <w:tcW w:w="1843" w:type="dxa"/>
          </w:tcPr>
          <w:p w14:paraId="3B95640A" w14:textId="0EA7EB78" w:rsidR="006D0E6C" w:rsidRPr="00C97886" w:rsidRDefault="006D0E6C" w:rsidP="00E61BFA">
            <w:pPr>
              <w:jc w:val="center"/>
              <w:rPr>
                <w:sz w:val="22"/>
                <w:szCs w:val="22"/>
              </w:rPr>
            </w:pPr>
            <w:r w:rsidRPr="00C97886">
              <w:rPr>
                <w:sz w:val="22"/>
                <w:szCs w:val="22"/>
              </w:rPr>
              <w:t>411,840</w:t>
            </w:r>
          </w:p>
        </w:tc>
        <w:tc>
          <w:tcPr>
            <w:tcW w:w="1985" w:type="dxa"/>
          </w:tcPr>
          <w:p w14:paraId="6D2B9CFC" w14:textId="0878F1AF" w:rsidR="006D0E6C" w:rsidRPr="00C97886" w:rsidRDefault="006D0E6C" w:rsidP="00E61BFA">
            <w:pPr>
              <w:jc w:val="center"/>
              <w:rPr>
                <w:sz w:val="22"/>
                <w:szCs w:val="22"/>
              </w:rPr>
            </w:pPr>
            <w:r w:rsidRPr="00C97886">
              <w:rPr>
                <w:sz w:val="22"/>
                <w:szCs w:val="22"/>
              </w:rPr>
              <w:t>8,250</w:t>
            </w:r>
          </w:p>
        </w:tc>
        <w:tc>
          <w:tcPr>
            <w:tcW w:w="2268" w:type="dxa"/>
          </w:tcPr>
          <w:p w14:paraId="3D326915" w14:textId="2B719D12" w:rsidR="006D0E6C" w:rsidRPr="00FD4D6B" w:rsidRDefault="006D0E6C" w:rsidP="00E61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30,740</w:t>
            </w:r>
          </w:p>
        </w:tc>
        <w:tc>
          <w:tcPr>
            <w:tcW w:w="1559" w:type="dxa"/>
          </w:tcPr>
          <w:p w14:paraId="72258B03" w14:textId="4E94DE1B" w:rsidR="006D0E6C" w:rsidRPr="00FD4D6B" w:rsidRDefault="006D0E6C" w:rsidP="006D0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454,0448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спецжурналов и 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4C96EE69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54CB6D1B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7C25E833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D47F27">
              <w:rPr>
                <w:sz w:val="22"/>
                <w:szCs w:val="22"/>
              </w:rPr>
              <w:t>спецжурналов</w:t>
            </w:r>
            <w:proofErr w:type="spellEnd"/>
            <w:r w:rsidRPr="00D47F27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Цена 1 </w:t>
            </w:r>
            <w:proofErr w:type="spellStart"/>
            <w:r w:rsidRPr="00D47F27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46325B0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37D428C8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4D3A55F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1,93270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597917C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084E3320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0,55220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5855997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2517E9F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767661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0,72990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2D5099E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A47A19" w:rsidRPr="00FC3E8C" w14:paraId="2F1A8AF3" w14:textId="77777777" w:rsidTr="00636D7D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261B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7971E382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15D4531D" w:rsidR="00A47A19" w:rsidRPr="00FC3E8C" w:rsidRDefault="00A47A19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08EE3EA4" w:rsidR="00A47A19" w:rsidRPr="00FC3E8C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12,000</w:t>
            </w:r>
          </w:p>
        </w:tc>
      </w:tr>
      <w:tr w:rsidR="00A47A19" w:rsidRPr="00FC3E8C" w14:paraId="3C31CDC1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A9A9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3B0" w14:textId="7F28AD0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D2F" w14:textId="34BFE322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CA2D" w14:textId="5D9DEABE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22719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D95F" w14:textId="0E95B7E2" w:rsidR="00A47A19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399,840</w:t>
            </w:r>
          </w:p>
        </w:tc>
      </w:tr>
      <w:tr w:rsidR="00A47A19" w:rsidRPr="00FC3E8C" w14:paraId="15697694" w14:textId="77777777" w:rsidTr="00636D7D">
        <w:trPr>
          <w:trHeight w:val="415"/>
        </w:trPr>
        <w:tc>
          <w:tcPr>
            <w:tcW w:w="75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862" w14:textId="2D80F14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1EDA" w14:textId="30230F5B" w:rsidR="00A47A19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411,840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014A3E7A" w:rsidR="000A56D0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4296CE71" w:rsidR="000A56D0" w:rsidRPr="00FC3E8C" w:rsidRDefault="00572482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47A19">
              <w:rPr>
                <w:sz w:val="22"/>
                <w:szCs w:val="22"/>
              </w:rPr>
              <w:t>5,00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2B137EC9" w:rsidR="000A56D0" w:rsidRPr="00FC3E8C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8,250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1A2E099D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B3F" w14:textId="26AE647D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07AE0BB7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8EA4A3B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7890E917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  <w:r w:rsidR="00914F2E">
              <w:rPr>
                <w:sz w:val="22"/>
                <w:szCs w:val="22"/>
              </w:rPr>
              <w:t>10</w:t>
            </w:r>
          </w:p>
        </w:tc>
      </w:tr>
      <w:tr w:rsidR="006171B8" w:rsidRPr="00FC3E8C" w14:paraId="67230E94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7B03" w14:textId="0B51C8CF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5A80C0FA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50F31744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4F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44823620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6171B8" w:rsidRPr="00FC3E8C" w14:paraId="5978B629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2240" w14:textId="5B9165EB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0D3A142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0C03FC04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1,330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42C43682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4D518A6F" w:rsidR="006171B8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4F2E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467E1429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1B8D120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3,120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521C9E95" w:rsidR="001465A5" w:rsidRPr="00FC3E8C" w:rsidRDefault="00636D7D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0981547F" w:rsidR="001465A5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9928D84" w:rsidR="001465A5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14F2E">
              <w:rPr>
                <w:sz w:val="22"/>
                <w:szCs w:val="22"/>
              </w:rPr>
              <w:t>00</w:t>
            </w:r>
          </w:p>
        </w:tc>
      </w:tr>
      <w:tr w:rsidR="00636D7D" w:rsidRPr="00FC3E8C" w14:paraId="181A4FAA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102F" w14:textId="2EFCA20E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D00A" w14:textId="02D49579" w:rsidR="00636D7D" w:rsidRPr="00FC3E8C" w:rsidRDefault="00636D7D" w:rsidP="00636D7D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D7DC" w14:textId="3076E79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1705" w14:textId="5C9FAB9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FDA6" w14:textId="74872DAD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932F" w14:textId="00F033E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636D7D" w:rsidRPr="00FC3E8C" w14:paraId="72B2265B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042A" w14:textId="2CE1CA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338" w14:textId="22BA97F7" w:rsidR="00636D7D" w:rsidRPr="00FC3E8C" w:rsidRDefault="00636D7D" w:rsidP="00636D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CB84" w14:textId="6B649A12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E6E" w14:textId="0D779F5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5F6" w14:textId="4128E81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33B" w14:textId="595C43C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8,750</w:t>
            </w:r>
          </w:p>
        </w:tc>
      </w:tr>
      <w:tr w:rsidR="00636D7D" w:rsidRPr="00FC3E8C" w14:paraId="40F26C64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B265" w14:textId="6D20960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AAF4" w14:textId="43A1BE9A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Перчатки резиновые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1973" w14:textId="2F19FD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1D35" w14:textId="131D0703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3838" w14:textId="5BA2B696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9E7F" w14:textId="0C4370B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636D7D" w:rsidRPr="00FC3E8C" w14:paraId="75CF1872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43B2" w14:textId="1628C59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766" w14:textId="34AA4CD1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Антисептик для рук (1 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E8A" w14:textId="0451CAB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D98" w14:textId="50D996D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1BC7" w14:textId="467C3B8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68ED" w14:textId="27037A57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711957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711957" w:rsidRPr="00FC3E8C" w:rsidRDefault="00711957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711957" w:rsidRPr="00886545" w:rsidRDefault="00711957" w:rsidP="00711957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0554171A" w:rsidR="00711957" w:rsidRPr="00886545" w:rsidRDefault="002F0F84" w:rsidP="00711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27,01</w:t>
            </w:r>
          </w:p>
        </w:tc>
      </w:tr>
    </w:tbl>
    <w:p w14:paraId="2321AA44" w14:textId="631B68F5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</w:t>
      </w:r>
    </w:p>
    <w:p w14:paraId="6BBC9F3D" w14:textId="77777777" w:rsidR="00364855" w:rsidRDefault="00753B88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 </w:t>
      </w:r>
    </w:p>
    <w:p w14:paraId="34757E05" w14:textId="77777777" w:rsidR="00364855" w:rsidRDefault="00364855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</w:p>
    <w:p w14:paraId="648E1C24" w14:textId="77777777" w:rsidR="00364855" w:rsidRDefault="00364855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</w:p>
    <w:p w14:paraId="207E19F3" w14:textId="140E5ED9" w:rsidR="00222D63" w:rsidRDefault="00364855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</w:t>
      </w:r>
      <w:r w:rsidR="00753B88" w:rsidRPr="00FC3E8C">
        <w:rPr>
          <w:sz w:val="22"/>
          <w:szCs w:val="22"/>
        </w:rPr>
        <w:t xml:space="preserve">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51C6AF67" w:rsidR="00222D63" w:rsidRPr="00FC3E8C" w:rsidRDefault="00636D7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Тряпкодержатель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55C3D6F2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1769F88A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914F2E" w:rsidRPr="00FC3E8C" w14:paraId="39034AE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A490" w14:textId="5DCC1880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FDD" w14:textId="22B7D2DC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Ведро оцинкованное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6C2D" w14:textId="33CD02DE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BA7C" w14:textId="5AF3DAA9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1377" w14:textId="33D380E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B624" w14:textId="5A460AC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</w:tr>
      <w:tr w:rsidR="00914F2E" w:rsidRPr="00FC3E8C" w14:paraId="7CE4F18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871A" w14:textId="79D4D64A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799D" w14:textId="77777777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для уборки</w:t>
            </w:r>
          </w:p>
          <w:p w14:paraId="29E9B8D4" w14:textId="7CE0C708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(совок высокий + щетка)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6254" w14:textId="64D2749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E4AA" w14:textId="78D0E63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7C7" w14:textId="65872B66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E52" w14:textId="50D95628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0,750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EA295E" w:rsidRDefault="00222D63" w:rsidP="00D034D8">
            <w:pPr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5155677E" w:rsidR="00222D63" w:rsidRPr="00EA295E" w:rsidRDefault="002F0F84" w:rsidP="00D034D8">
            <w:pPr>
              <w:jc w:val="center"/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2,83</w:t>
            </w:r>
          </w:p>
        </w:tc>
      </w:tr>
    </w:tbl>
    <w:p w14:paraId="7023E613" w14:textId="77777777" w:rsidR="00356EFE" w:rsidRDefault="00356EFE" w:rsidP="00636D7D">
      <w:pPr>
        <w:widowControl w:val="0"/>
        <w:autoSpaceDE w:val="0"/>
        <w:autoSpaceDN w:val="0"/>
        <w:ind w:firstLine="708"/>
        <w:jc w:val="both"/>
      </w:pPr>
    </w:p>
    <w:p w14:paraId="09F96C0D" w14:textId="703B79F2" w:rsidR="00636D7D" w:rsidRDefault="002F0F84" w:rsidP="00636D7D">
      <w:pPr>
        <w:widowControl w:val="0"/>
        <w:autoSpaceDE w:val="0"/>
        <w:autoSpaceDN w:val="0"/>
        <w:ind w:firstLine="708"/>
        <w:jc w:val="both"/>
      </w:pPr>
      <w:r>
        <w:t>7</w:t>
      </w:r>
      <w:r w:rsidR="00636D7D">
        <w:t>.1.</w:t>
      </w:r>
      <w:r>
        <w:t>4</w:t>
      </w:r>
      <w:r w:rsidR="00636D7D">
        <w:t>.3. Затраты на приобретение электротоваров:</w:t>
      </w:r>
    </w:p>
    <w:p w14:paraId="40B2D41D" w14:textId="77777777" w:rsidR="00636D7D" w:rsidRDefault="00636D7D" w:rsidP="00636D7D">
      <w:pPr>
        <w:widowControl w:val="0"/>
        <w:autoSpaceDE w:val="0"/>
        <w:autoSpaceDN w:val="0"/>
        <w:ind w:firstLine="708"/>
        <w:jc w:val="both"/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431"/>
        <w:gridCol w:w="1276"/>
        <w:gridCol w:w="1418"/>
        <w:gridCol w:w="1559"/>
        <w:gridCol w:w="1678"/>
      </w:tblGrid>
      <w:tr w:rsidR="00636D7D" w14:paraId="5B33CC1A" w14:textId="77777777" w:rsidTr="00636D7D">
        <w:trPr>
          <w:trHeight w:val="175"/>
        </w:trPr>
        <w:tc>
          <w:tcPr>
            <w:tcW w:w="5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0288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№</w:t>
            </w:r>
          </w:p>
          <w:p w14:paraId="7A9F0A78" w14:textId="77777777" w:rsidR="00636D7D" w:rsidRDefault="00636D7D" w:rsidP="00636D7D">
            <w:pPr>
              <w:autoSpaceDE w:val="0"/>
              <w:autoSpaceDN w:val="0"/>
              <w:ind w:left="-40" w:firstLine="4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п/п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987A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55F7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Единица</w:t>
            </w:r>
          </w:p>
          <w:p w14:paraId="27A5AFCF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7231" w14:textId="77777777" w:rsidR="00636D7D" w:rsidRDefault="00636D7D" w:rsidP="00636D7D">
            <w:pPr>
              <w:autoSpaceDE w:val="0"/>
              <w:autoSpaceDN w:val="0"/>
              <w:contextualSpacing/>
              <w:jc w:val="center"/>
            </w:pPr>
            <w:r>
              <w:t>Количество единиц</w:t>
            </w:r>
          </w:p>
          <w:p w14:paraId="01677B0D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t>в год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4C81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Цена за единицу</w:t>
            </w:r>
          </w:p>
          <w:p w14:paraId="5FCBE633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 xml:space="preserve"> (</w:t>
            </w:r>
            <w:r>
              <w:rPr>
                <w:rFonts w:cs="Calibri"/>
                <w:bCs/>
              </w:rPr>
              <w:t>не более),</w:t>
            </w:r>
          </w:p>
          <w:p w14:paraId="2C4B292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5A761228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Затраты в год</w:t>
            </w:r>
          </w:p>
          <w:p w14:paraId="7EA37EB1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(не более),</w:t>
            </w:r>
          </w:p>
          <w:p w14:paraId="6140374C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тыс. руб.</w:t>
            </w:r>
          </w:p>
          <w:p w14:paraId="77964722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</w:tr>
      <w:tr w:rsidR="00636D7D" w14:paraId="7D56ACE7" w14:textId="77777777" w:rsidTr="002F0F84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44D2" w14:textId="4156C1D8" w:rsidR="00636D7D" w:rsidRDefault="002F0F84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EF6D" w14:textId="77777777" w:rsidR="00636D7D" w:rsidRDefault="00636D7D" w:rsidP="00636D7D">
            <w:pPr>
              <w:contextualSpacing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Лампочки накаливания электрические 40-95 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F8D9" w14:textId="77777777" w:rsidR="00636D7D" w:rsidRDefault="00636D7D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64E9" w14:textId="09EDDF89" w:rsidR="00636D7D" w:rsidRDefault="002F0F84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34CF" w14:textId="2C266E15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ADD5" w14:textId="4EAB1DD1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0,900</w:t>
            </w:r>
          </w:p>
        </w:tc>
      </w:tr>
      <w:tr w:rsidR="00636D7D" w14:paraId="75B9C20F" w14:textId="77777777" w:rsidTr="00636D7D">
        <w:trPr>
          <w:trHeight w:val="2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02AC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3190" w14:textId="77777777" w:rsidR="00636D7D" w:rsidRPr="00EA295E" w:rsidRDefault="00636D7D" w:rsidP="00636D7D">
            <w:pPr>
              <w:contextualSpacing/>
              <w:rPr>
                <w:rFonts w:cs="Calibri"/>
                <w:bCs/>
              </w:rPr>
            </w:pPr>
            <w:r w:rsidRPr="00EA295E">
              <w:rPr>
                <w:rFonts w:cs="Calibri"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3A2F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5C5FC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3522" w14:textId="77777777" w:rsidR="00636D7D" w:rsidRPr="00EA295E" w:rsidRDefault="00636D7D" w:rsidP="00636D7D">
            <w:pPr>
              <w:contextualSpacing/>
              <w:jc w:val="center"/>
              <w:rPr>
                <w:rFonts w:cs="Calibri"/>
                <w:bCs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2900" w14:textId="0B6469A7" w:rsidR="00636D7D" w:rsidRPr="00EA295E" w:rsidRDefault="002F0F84" w:rsidP="00636D7D">
            <w:pPr>
              <w:contextualSpacing/>
              <w:jc w:val="center"/>
              <w:rPr>
                <w:rFonts w:cs="Calibri"/>
                <w:bCs/>
                <w:color w:val="000000"/>
              </w:rPr>
            </w:pPr>
            <w:r w:rsidRPr="00EA295E">
              <w:rPr>
                <w:rFonts w:cs="Calibri"/>
                <w:bCs/>
                <w:color w:val="000000"/>
              </w:rPr>
              <w:t>0,900</w:t>
            </w:r>
          </w:p>
        </w:tc>
      </w:tr>
    </w:tbl>
    <w:p w14:paraId="164E68A8" w14:textId="77777777" w:rsidR="00222D63" w:rsidRPr="00FC3E8C" w:rsidRDefault="00222D63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3CECDF03" w14:textId="06596342" w:rsidR="002870DF" w:rsidRPr="00FC3E8C" w:rsidRDefault="00B27B19" w:rsidP="00364855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1D135D"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285EF620" w:rsidR="007C031D" w:rsidRPr="00FC3E8C" w:rsidRDefault="00A47A19" w:rsidP="000E40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E403C">
              <w:rPr>
                <w:sz w:val="22"/>
                <w:szCs w:val="22"/>
              </w:rPr>
              <w:t> 367 160,44</w:t>
            </w:r>
          </w:p>
        </w:tc>
      </w:tr>
    </w:tbl>
    <w:p w14:paraId="10C4EACE" w14:textId="77777777" w:rsidR="00FB7E5C" w:rsidRPr="00FC3E8C" w:rsidRDefault="00FB7E5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455E08D8" w14:textId="686A1751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9B68ED3" w14:textId="77777777" w:rsidR="00E83954" w:rsidRPr="00FC3E8C" w:rsidRDefault="00E83954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14:paraId="43862F5E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0371290E" w:rsidR="00264F6D" w:rsidRPr="00FC3E8C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057D915E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DD58C8B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330C1459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786E8207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39,600</w:t>
            </w:r>
          </w:p>
        </w:tc>
      </w:tr>
    </w:tbl>
    <w:p w14:paraId="6ABF1A33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bookmarkStart w:id="0" w:name="_GoBack"/>
      <w:bookmarkEnd w:id="0"/>
    </w:p>
    <w:p w14:paraId="405D105C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FC31860" w14:textId="5EC88795" w:rsidR="007A7FAA" w:rsidRDefault="007A7FA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26D0247A" w14:textId="77777777" w:rsidR="00FA1826" w:rsidRDefault="00FA1826" w:rsidP="00FA1826">
      <w:pPr>
        <w:jc w:val="both"/>
      </w:pPr>
    </w:p>
    <w:p w14:paraId="449A54DF" w14:textId="77777777" w:rsidR="00E72AF8" w:rsidRDefault="00E72AF8" w:rsidP="00E72AF8"/>
    <w:sectPr w:rsidR="00E72AF8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00C69"/>
    <w:rsid w:val="0002336B"/>
    <w:rsid w:val="00024A06"/>
    <w:rsid w:val="00032807"/>
    <w:rsid w:val="00045978"/>
    <w:rsid w:val="0005043D"/>
    <w:rsid w:val="0005516F"/>
    <w:rsid w:val="000653B3"/>
    <w:rsid w:val="00065C3B"/>
    <w:rsid w:val="000661E3"/>
    <w:rsid w:val="000675EC"/>
    <w:rsid w:val="000727F0"/>
    <w:rsid w:val="00074E34"/>
    <w:rsid w:val="000754D1"/>
    <w:rsid w:val="000A56D0"/>
    <w:rsid w:val="000A75F0"/>
    <w:rsid w:val="000C1588"/>
    <w:rsid w:val="000E085E"/>
    <w:rsid w:val="000E403C"/>
    <w:rsid w:val="000E5733"/>
    <w:rsid w:val="000F497C"/>
    <w:rsid w:val="000F7095"/>
    <w:rsid w:val="00105385"/>
    <w:rsid w:val="0011650B"/>
    <w:rsid w:val="00116E7B"/>
    <w:rsid w:val="00121837"/>
    <w:rsid w:val="0012199F"/>
    <w:rsid w:val="00127E78"/>
    <w:rsid w:val="00132C8B"/>
    <w:rsid w:val="001465A5"/>
    <w:rsid w:val="00157334"/>
    <w:rsid w:val="00160792"/>
    <w:rsid w:val="001640FA"/>
    <w:rsid w:val="001645D5"/>
    <w:rsid w:val="00173FA3"/>
    <w:rsid w:val="001757BD"/>
    <w:rsid w:val="0018508D"/>
    <w:rsid w:val="00190B81"/>
    <w:rsid w:val="00195972"/>
    <w:rsid w:val="001C1240"/>
    <w:rsid w:val="001C2B35"/>
    <w:rsid w:val="001C5657"/>
    <w:rsid w:val="001C66DD"/>
    <w:rsid w:val="001D135D"/>
    <w:rsid w:val="001D415C"/>
    <w:rsid w:val="001D4614"/>
    <w:rsid w:val="001E3766"/>
    <w:rsid w:val="001F6A2F"/>
    <w:rsid w:val="00204243"/>
    <w:rsid w:val="002124DB"/>
    <w:rsid w:val="00213868"/>
    <w:rsid w:val="002153C4"/>
    <w:rsid w:val="00222D63"/>
    <w:rsid w:val="002270B8"/>
    <w:rsid w:val="00240CF2"/>
    <w:rsid w:val="002441C7"/>
    <w:rsid w:val="00245B03"/>
    <w:rsid w:val="00264F6D"/>
    <w:rsid w:val="002744DA"/>
    <w:rsid w:val="002829FD"/>
    <w:rsid w:val="002870DF"/>
    <w:rsid w:val="00295294"/>
    <w:rsid w:val="002A3987"/>
    <w:rsid w:val="002B045C"/>
    <w:rsid w:val="002B42B6"/>
    <w:rsid w:val="002C2154"/>
    <w:rsid w:val="002D2C39"/>
    <w:rsid w:val="002E54B6"/>
    <w:rsid w:val="002F0F84"/>
    <w:rsid w:val="002F48B1"/>
    <w:rsid w:val="00313369"/>
    <w:rsid w:val="0032604C"/>
    <w:rsid w:val="00330406"/>
    <w:rsid w:val="00332B87"/>
    <w:rsid w:val="003414F6"/>
    <w:rsid w:val="003504EA"/>
    <w:rsid w:val="00356EFE"/>
    <w:rsid w:val="00363969"/>
    <w:rsid w:val="00364855"/>
    <w:rsid w:val="00372028"/>
    <w:rsid w:val="00376E28"/>
    <w:rsid w:val="00382059"/>
    <w:rsid w:val="00391CE8"/>
    <w:rsid w:val="00397168"/>
    <w:rsid w:val="003B7B15"/>
    <w:rsid w:val="003C3B85"/>
    <w:rsid w:val="003D004C"/>
    <w:rsid w:val="003D1B11"/>
    <w:rsid w:val="003F0FD0"/>
    <w:rsid w:val="003F3EDF"/>
    <w:rsid w:val="00400947"/>
    <w:rsid w:val="00425799"/>
    <w:rsid w:val="0043360F"/>
    <w:rsid w:val="004517F5"/>
    <w:rsid w:val="0045587D"/>
    <w:rsid w:val="00485EF5"/>
    <w:rsid w:val="004954E4"/>
    <w:rsid w:val="004A5FAB"/>
    <w:rsid w:val="004B6494"/>
    <w:rsid w:val="004B7602"/>
    <w:rsid w:val="004C2483"/>
    <w:rsid w:val="004E5DA3"/>
    <w:rsid w:val="004F7E89"/>
    <w:rsid w:val="005057D0"/>
    <w:rsid w:val="00522CFD"/>
    <w:rsid w:val="005303B0"/>
    <w:rsid w:val="00541EE7"/>
    <w:rsid w:val="00542B84"/>
    <w:rsid w:val="00565B49"/>
    <w:rsid w:val="00567159"/>
    <w:rsid w:val="00570D27"/>
    <w:rsid w:val="00572482"/>
    <w:rsid w:val="0059127D"/>
    <w:rsid w:val="005946D9"/>
    <w:rsid w:val="005A1BDD"/>
    <w:rsid w:val="005B77B0"/>
    <w:rsid w:val="005B7BBF"/>
    <w:rsid w:val="005C0BE7"/>
    <w:rsid w:val="005D143F"/>
    <w:rsid w:val="005D2991"/>
    <w:rsid w:val="005E3D02"/>
    <w:rsid w:val="005F2BBD"/>
    <w:rsid w:val="005F42FF"/>
    <w:rsid w:val="00600E99"/>
    <w:rsid w:val="006171B8"/>
    <w:rsid w:val="00622414"/>
    <w:rsid w:val="00627CAA"/>
    <w:rsid w:val="0063329A"/>
    <w:rsid w:val="00635312"/>
    <w:rsid w:val="00636D7D"/>
    <w:rsid w:val="00642FEF"/>
    <w:rsid w:val="00651047"/>
    <w:rsid w:val="0065164A"/>
    <w:rsid w:val="00653409"/>
    <w:rsid w:val="006537E7"/>
    <w:rsid w:val="00653CE2"/>
    <w:rsid w:val="006765EC"/>
    <w:rsid w:val="00685E66"/>
    <w:rsid w:val="00687E0E"/>
    <w:rsid w:val="006B5942"/>
    <w:rsid w:val="006C56C7"/>
    <w:rsid w:val="006D0E6C"/>
    <w:rsid w:val="006D28F5"/>
    <w:rsid w:val="006E5896"/>
    <w:rsid w:val="006F41E3"/>
    <w:rsid w:val="006F4E3C"/>
    <w:rsid w:val="007050A2"/>
    <w:rsid w:val="00711957"/>
    <w:rsid w:val="007138A3"/>
    <w:rsid w:val="00723EF8"/>
    <w:rsid w:val="007248F5"/>
    <w:rsid w:val="00735E2B"/>
    <w:rsid w:val="0074514D"/>
    <w:rsid w:val="007475D3"/>
    <w:rsid w:val="007537B6"/>
    <w:rsid w:val="00753B88"/>
    <w:rsid w:val="00764F6C"/>
    <w:rsid w:val="00766C03"/>
    <w:rsid w:val="00770D01"/>
    <w:rsid w:val="00773BF5"/>
    <w:rsid w:val="0077611E"/>
    <w:rsid w:val="00782A7D"/>
    <w:rsid w:val="0078390B"/>
    <w:rsid w:val="00791448"/>
    <w:rsid w:val="007A7FAA"/>
    <w:rsid w:val="007B32E9"/>
    <w:rsid w:val="007B7E18"/>
    <w:rsid w:val="007C031D"/>
    <w:rsid w:val="007C0930"/>
    <w:rsid w:val="007D6038"/>
    <w:rsid w:val="007D6AF6"/>
    <w:rsid w:val="007F5961"/>
    <w:rsid w:val="008037D9"/>
    <w:rsid w:val="00807020"/>
    <w:rsid w:val="00807996"/>
    <w:rsid w:val="008103BE"/>
    <w:rsid w:val="008114A9"/>
    <w:rsid w:val="0081311D"/>
    <w:rsid w:val="00813BFB"/>
    <w:rsid w:val="008174CC"/>
    <w:rsid w:val="00825880"/>
    <w:rsid w:val="00835A92"/>
    <w:rsid w:val="00835CDE"/>
    <w:rsid w:val="0084148D"/>
    <w:rsid w:val="00845C94"/>
    <w:rsid w:val="00867374"/>
    <w:rsid w:val="00880F4E"/>
    <w:rsid w:val="0088523C"/>
    <w:rsid w:val="00886545"/>
    <w:rsid w:val="00895602"/>
    <w:rsid w:val="008A04D5"/>
    <w:rsid w:val="008B01D4"/>
    <w:rsid w:val="008C0AC3"/>
    <w:rsid w:val="008C7875"/>
    <w:rsid w:val="008D33A8"/>
    <w:rsid w:val="008D7331"/>
    <w:rsid w:val="008F5B97"/>
    <w:rsid w:val="008F6A1C"/>
    <w:rsid w:val="009030ED"/>
    <w:rsid w:val="009119FC"/>
    <w:rsid w:val="00911C79"/>
    <w:rsid w:val="00914F2E"/>
    <w:rsid w:val="00917B05"/>
    <w:rsid w:val="009236DE"/>
    <w:rsid w:val="00925303"/>
    <w:rsid w:val="00932719"/>
    <w:rsid w:val="00943B8D"/>
    <w:rsid w:val="0095655E"/>
    <w:rsid w:val="00970C4A"/>
    <w:rsid w:val="0097358A"/>
    <w:rsid w:val="009A752C"/>
    <w:rsid w:val="009B2A66"/>
    <w:rsid w:val="009C0DF9"/>
    <w:rsid w:val="009C0F8A"/>
    <w:rsid w:val="009E6306"/>
    <w:rsid w:val="009E6779"/>
    <w:rsid w:val="00A07458"/>
    <w:rsid w:val="00A17B3E"/>
    <w:rsid w:val="00A22AE8"/>
    <w:rsid w:val="00A40242"/>
    <w:rsid w:val="00A419F8"/>
    <w:rsid w:val="00A47A19"/>
    <w:rsid w:val="00A829DC"/>
    <w:rsid w:val="00A90F14"/>
    <w:rsid w:val="00A916B0"/>
    <w:rsid w:val="00A91823"/>
    <w:rsid w:val="00A97D5A"/>
    <w:rsid w:val="00AA7FBB"/>
    <w:rsid w:val="00AA7FE4"/>
    <w:rsid w:val="00AB52BF"/>
    <w:rsid w:val="00AB6A7E"/>
    <w:rsid w:val="00AC103B"/>
    <w:rsid w:val="00AC31B0"/>
    <w:rsid w:val="00AD01B0"/>
    <w:rsid w:val="00AE5DB3"/>
    <w:rsid w:val="00AF1708"/>
    <w:rsid w:val="00B0284C"/>
    <w:rsid w:val="00B07DC1"/>
    <w:rsid w:val="00B17745"/>
    <w:rsid w:val="00B27B19"/>
    <w:rsid w:val="00B45E0E"/>
    <w:rsid w:val="00B541B9"/>
    <w:rsid w:val="00B65211"/>
    <w:rsid w:val="00B73F1C"/>
    <w:rsid w:val="00B74E90"/>
    <w:rsid w:val="00B8197C"/>
    <w:rsid w:val="00B86D59"/>
    <w:rsid w:val="00B871B3"/>
    <w:rsid w:val="00B914A4"/>
    <w:rsid w:val="00B92722"/>
    <w:rsid w:val="00B96DAE"/>
    <w:rsid w:val="00BB2028"/>
    <w:rsid w:val="00BE5BF6"/>
    <w:rsid w:val="00BE6131"/>
    <w:rsid w:val="00BF4535"/>
    <w:rsid w:val="00C03D08"/>
    <w:rsid w:val="00C04122"/>
    <w:rsid w:val="00C230F7"/>
    <w:rsid w:val="00C232AF"/>
    <w:rsid w:val="00C23BAF"/>
    <w:rsid w:val="00C377F3"/>
    <w:rsid w:val="00C509E0"/>
    <w:rsid w:val="00C55A08"/>
    <w:rsid w:val="00C57A50"/>
    <w:rsid w:val="00C60221"/>
    <w:rsid w:val="00C72F24"/>
    <w:rsid w:val="00C97886"/>
    <w:rsid w:val="00CC0048"/>
    <w:rsid w:val="00CC4AF8"/>
    <w:rsid w:val="00CE1F61"/>
    <w:rsid w:val="00CE6066"/>
    <w:rsid w:val="00CE7975"/>
    <w:rsid w:val="00CF06D4"/>
    <w:rsid w:val="00D031A8"/>
    <w:rsid w:val="00D034D8"/>
    <w:rsid w:val="00D22305"/>
    <w:rsid w:val="00D37D4F"/>
    <w:rsid w:val="00D47F27"/>
    <w:rsid w:val="00D5140D"/>
    <w:rsid w:val="00D606C3"/>
    <w:rsid w:val="00D6573A"/>
    <w:rsid w:val="00D7235C"/>
    <w:rsid w:val="00D76517"/>
    <w:rsid w:val="00D8458A"/>
    <w:rsid w:val="00DD1C1B"/>
    <w:rsid w:val="00DD36C8"/>
    <w:rsid w:val="00DF21CE"/>
    <w:rsid w:val="00E0391D"/>
    <w:rsid w:val="00E30BB8"/>
    <w:rsid w:val="00E42913"/>
    <w:rsid w:val="00E47813"/>
    <w:rsid w:val="00E47A30"/>
    <w:rsid w:val="00E53E3A"/>
    <w:rsid w:val="00E60050"/>
    <w:rsid w:val="00E61BFA"/>
    <w:rsid w:val="00E6606A"/>
    <w:rsid w:val="00E72AF8"/>
    <w:rsid w:val="00E80222"/>
    <w:rsid w:val="00E82101"/>
    <w:rsid w:val="00E83954"/>
    <w:rsid w:val="00E839D7"/>
    <w:rsid w:val="00EA0468"/>
    <w:rsid w:val="00EA295E"/>
    <w:rsid w:val="00EC03E7"/>
    <w:rsid w:val="00ED0BB0"/>
    <w:rsid w:val="00EE060F"/>
    <w:rsid w:val="00EE50FF"/>
    <w:rsid w:val="00F00EDA"/>
    <w:rsid w:val="00F01F44"/>
    <w:rsid w:val="00F12CA7"/>
    <w:rsid w:val="00F20C1A"/>
    <w:rsid w:val="00F609F5"/>
    <w:rsid w:val="00F64A0D"/>
    <w:rsid w:val="00F75856"/>
    <w:rsid w:val="00F81EA8"/>
    <w:rsid w:val="00F821A9"/>
    <w:rsid w:val="00F912B7"/>
    <w:rsid w:val="00F917EF"/>
    <w:rsid w:val="00FA1826"/>
    <w:rsid w:val="00FA607C"/>
    <w:rsid w:val="00FB7E5C"/>
    <w:rsid w:val="00FC3E8C"/>
    <w:rsid w:val="00FC425F"/>
    <w:rsid w:val="00FC4689"/>
    <w:rsid w:val="00FC7C64"/>
    <w:rsid w:val="00FD1378"/>
    <w:rsid w:val="00FD4D6B"/>
    <w:rsid w:val="00FE5C54"/>
    <w:rsid w:val="00FE713C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  <w15:docId w15:val="{161D9F4C-18AC-464A-A6B7-2DF347B9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305BE-229E-4E90-B931-7A2C877C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9750</TotalTime>
  <Pages>8</Pages>
  <Words>2796</Words>
  <Characters>15941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SpecZacup</cp:lastModifiedBy>
  <cp:revision>3437</cp:revision>
  <cp:lastPrinted>2025-07-08T08:44:00Z</cp:lastPrinted>
  <dcterms:created xsi:type="dcterms:W3CDTF">2015-02-24T07:57:00Z</dcterms:created>
  <dcterms:modified xsi:type="dcterms:W3CDTF">2025-07-08T11:30:00Z</dcterms:modified>
</cp:coreProperties>
</file>